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Rechargeable consumer products</w:t>
      </w:r>
    </w:p>
    <w:p>
      <w:pPr>
        <w:jc w:val="both"/>
        <w:spacing w:before="100" w:after="100"/>
        <w:ind w:start="360"/>
        <w:ind w:firstLine="360"/>
      </w:pPr>
      <w:r>
        <w:rPr>
          <w:b/>
        </w:rPr>
        <w:t>1</w:t>
        <w:t xml:space="preserve">.  </w:t>
      </w:r>
      <w:r>
        <w:rPr>
          <w:b/>
        </w:rPr>
        <w:t xml:space="preserve">Nonremoveable battery requirements.</w:t>
        <w:t xml:space="preserve"> </w:t>
      </w:r>
      <w:r>
        <w:t xml:space="preserve"> </w:t>
      </w:r>
      <w:r>
        <w:t xml:space="preserve">A person may not sell, distribute or offer for sale in this State any product powered by a rechargeable battery primarily used or purchased to be used for personal, family or household purposes unless:</w:t>
      </w:r>
    </w:p>
    <w:p>
      <w:pPr>
        <w:jc w:val="both"/>
        <w:spacing w:before="100" w:after="0"/>
        <w:ind w:start="720"/>
      </w:pPr>
      <w:r>
        <w:rPr/>
        <w:t>A</w:t>
        <w:t xml:space="preserve">.  </w:t>
      </w:r>
      <w:r>
        <w:rPr/>
      </w:r>
      <w:r>
        <w:t xml:space="preserve">The battery may be easily removed by the consumer or is contained in a battery pack that is separate from the product and may be easily removed;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The product, the battery itself and the package containing the product are all labeled, in a manner that is clearly visible to the consumer, indicating that the battery must be recycled or disposed of properly and that the type of electrode used in the battery is clearly identifiable.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§50 (RP).]</w:t>
      </w:r>
    </w:p>
    <w:p>
      <w:pPr>
        <w:jc w:val="both"/>
        <w:spacing w:before="100" w:after="0"/>
        <w:ind w:start="360"/>
        <w:ind w:firstLine="360"/>
      </w:pPr>
      <w:r>
        <w:rPr>
          <w:b/>
        </w:rPr>
        <w:t>3</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is a civil violation for which a forfeiture of not more than $100 per battery sold, distributed or offered for sale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 PL 1995, c. 656,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§2166. Rechargeable consumer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Rechargeable consumer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§2166. RECHARGEABLE CONSUMER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