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1452</w:t>
        <w:t xml:space="preserve">.  </w:t>
      </w:r>
      <w:r>
        <w:rPr>
          <w:b/>
        </w:rPr>
        <w:t xml:space="preserve">Consent of Legislature for federal radioactive waste storage facilities</w:t>
      </w:r>
    </w:p>
    <w:p>
      <w:pPr>
        <w:jc w:val="both"/>
        <w:spacing w:before="100" w:after="100"/>
        <w:ind w:start="360"/>
        <w:ind w:firstLine="360"/>
      </w:pPr>
      <w:r>
        <w:rPr/>
      </w:r>
      <w:r>
        <w:rPr/>
      </w:r>
      <w:r>
        <w:t xml:space="preserve">Notwithstanding any other provision of law, this State does not consent to the acquisition by the Federal Government, by purchase, condemnation, lease, easement or by any other means, of any land, building or other structure, above or below ground, or in or under the waters of the State for use in storing, depositing or treating high-level or low-level radioactive waste materials. The Legislature may consent, by prior affirmative vote, to such activities, except that consent is expressly withheld for any such activity undertaken in connection with the deep geological disposal of high-level radioactive waste, as provided in </w:t>
      </w:r>
      <w:r>
        <w:t>section 1461‑A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802,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381, §9 (NEW). PL 1985, c. 802,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§1452. Consent of Legislature for federal radioactive waste storage facilities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§1452. Consent of Legislature for federal radioactive waste storage facilities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§1452. CONSENT OF LEGISLATURE FOR FEDERAL RADIOACTIVE WASTE STORAGE FACILITIES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