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1273</w:t>
        <w:t xml:space="preserve">.  </w:t>
      </w:r>
      <w:r>
        <w:rPr>
          <w:b/>
        </w:rPr>
        <w:t xml:space="preserve">Prohibitions</w:t>
      </w:r>
    </w:p>
    <w:p>
      <w:pPr>
        <w:jc w:val="both"/>
        <w:spacing w:before="100" w:after="100"/>
        <w:ind w:start="360"/>
        <w:ind w:firstLine="360"/>
      </w:pPr>
      <w:r>
        <w:rPr/>
      </w:r>
      <w:r>
        <w:rPr/>
      </w:r>
      <w:r>
        <w:t xml:space="preserve">Unless otherwise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448, §1-C (NEW).]</w:t>
      </w:r>
    </w:p>
    <w:p>
      <w:pPr>
        <w:jc w:val="both"/>
        <w:spacing w:before="100" w:after="0"/>
        <w:ind w:start="360"/>
        <w:ind w:firstLine="360"/>
      </w:pPr>
      <w:r>
        <w:rPr>
          <w:b/>
        </w:rPr>
        <w:t>1</w:t>
        <w:t xml:space="preserve">.  </w:t>
      </w:r>
      <w:r>
        <w:rPr>
          <w:b/>
        </w:rPr>
        <w:t xml:space="preserve">License or certificate required.</w:t>
        <w:t xml:space="preserve"> </w:t>
      </w:r>
      <w:r>
        <w:t xml:space="preserve"> </w:t>
      </w:r>
      <w:r>
        <w:t xml:space="preserve">No person or owner or operator may engage in any asbestos abatement activities in the State, unless licensed or certified pursuant to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355, §39 (AMD).]</w:t>
      </w:r>
    </w:p>
    <w:p>
      <w:pPr>
        <w:jc w:val="both"/>
        <w:spacing w:before="100" w:after="0"/>
        <w:ind w:start="360"/>
        <w:ind w:firstLine="360"/>
      </w:pPr>
      <w:r>
        <w:rPr>
          <w:b/>
        </w:rPr>
        <w:t>2</w:t>
        <w:t xml:space="preserve">.  </w:t>
      </w:r>
      <w:r>
        <w:rPr>
          <w:b/>
        </w:rPr>
        <w:t xml:space="preserve">Notification required.</w:t>
        <w:t xml:space="preserve"> </w:t>
      </w:r>
      <w:r>
        <w:t xml:space="preserve"> </w:t>
      </w:r>
      <w:r>
        <w:t xml:space="preserve">A person, owner or operator may not engage in any asbestos abatement activity over 3 linear feet or 3 square feet of asbestos-containing material unless that person, owner or operator notifies the commissioner in writing.  This notification must be postmarked at least 10 calendar days before or delivered to the department at least 5 working days prior to beginning any on-site work, including on-site preparation work.  The department may approve a reduction in the number of days required for notification on a case-by-case basis when unforeseeable circumstances or compliance with standard notification procedures may cause a threat to the environment or human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374, §4 (AMD).]</w:t>
      </w:r>
    </w:p>
    <w:p>
      <w:pPr>
        <w:jc w:val="both"/>
        <w:spacing w:before="100" w:after="0"/>
        <w:ind w:start="360"/>
        <w:ind w:firstLine="360"/>
      </w:pPr>
      <w:r>
        <w:rPr>
          <w:b/>
        </w:rPr>
        <w:t>3</w:t>
        <w:t xml:space="preserve">.  </w:t>
      </w:r>
      <w:r>
        <w:rPr>
          <w:b/>
        </w:rPr>
        <w:t xml:space="preserve">In-house abatement units.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325, §4 (RP).]</w:t>
      </w:r>
    </w:p>
    <w:p>
      <w:pPr>
        <w:jc w:val="both"/>
        <w:spacing w:before="100" w:after="0"/>
        <w:ind w:start="360"/>
        <w:ind w:firstLine="360"/>
      </w:pPr>
      <w:r>
        <w:rPr>
          <w:b/>
        </w:rPr>
        <w:t>4</w:t>
        <w:t xml:space="preserve">.  </w:t>
      </w:r>
      <w:r>
        <w:rPr>
          <w:b/>
        </w:rPr>
        <w:t xml:space="preserve">Exemption.</w:t>
        <w:t xml:space="preserve"> </w:t>
      </w:r>
      <w:r>
        <w:t xml:space="preserve"> </w:t>
      </w:r>
      <w:r>
        <w:t xml:space="preserve">Asbestos abatement activities related to disposal undertaken at licensed asbestos disposal sites are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1989, c. 325, §§4,5 (AMD). PL 1991, c. 473, §§11,12 (AMD). PL 1993, c. 355, §39 (AMD). PL 1993, c. 355, §40 (AMD). PL 2001, c. 626, §17 (AMD). PL 2005, c. 52, §1 (AMD). PL 2009, c. 374,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§1273.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§1273.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§1273.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