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Acceptance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Acceptance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§825. ACCEPTANCE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