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Emergency Response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§802. EMERGENCY RESPONSE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