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w:t>
        <w:t xml:space="preserve">.  </w:t>
      </w:r>
      <w:r>
        <w:rPr>
          <w:b/>
        </w:rPr>
        <w:t xml:space="preserve">Court reporters</w:t>
      </w:r>
    </w:p>
    <w:p>
      <w:pPr>
        <w:jc w:val="both"/>
        <w:spacing w:before="100" w:after="100"/>
        <w:ind w:start="360"/>
        <w:ind w:firstLine="360"/>
      </w:pPr>
      <w:r>
        <w:rPr/>
      </w:r>
      <w:r>
        <w:rPr/>
      </w:r>
      <w:r>
        <w:t xml:space="preserve">The convening authority of a court-martial, shall detail or employ qualified court reporters, who shall record the proceedings of and testimony taken before that court. If a court reporter is not available, the Governor or Adjutant General may authorize the use of audio tape or other electronic transcription equipment to record proceedings.  The convening authority of a court-martial, may detail or employ interpreters who shall interpret for the court. The Governor shall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1983, c. 594,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 Court reporters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 Court reporters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§423. COURT REPORTERS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