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w:t>
        <w:t xml:space="preserve">.  </w:t>
      </w:r>
      <w:r>
        <w:rPr>
          <w:b/>
        </w:rPr>
        <w:t xml:space="preserve">Maine Military Authority established</w:t>
      </w:r>
    </w:p>
    <w:p>
      <w:pPr>
        <w:jc w:val="both"/>
        <w:spacing w:before="100" w:after="100"/>
        <w:ind w:start="360"/>
        <w:ind w:firstLine="360"/>
      </w:pPr>
      <w:r>
        <w:rPr/>
      </w:r>
      <w:r>
        <w:rPr/>
      </w:r>
      <w:r>
        <w:t xml:space="preserve">The Maine Military Authority is established within the Executive Department.</w:t>
      </w:r>
      <w:r>
        <w:t xml:space="preserve">  </w:t>
      </w:r>
      <w:r xmlns:wp="http://schemas.openxmlformats.org/drawingml/2010/wordprocessingDrawing" xmlns:w15="http://schemas.microsoft.com/office/word/2012/wordml">
        <w:rPr>
          <w:rFonts w:ascii="Arial" w:hAnsi="Arial" w:cs="Arial"/>
          <w:sz w:val="22"/>
          <w:szCs w:val="22"/>
        </w:rPr>
        <w:t xml:space="preserve">[PL 2003, c. 646,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374, §8 (NEW). PL 2003, c. 342, §4 (AMD). PL 2003, c. 646, §6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 Maine Military Authority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 Maine Military Authority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§391. MAINE MILITARY AUTHORITY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