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Inspection and condemnation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§264. INSPECTION AND CONDEMNATION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