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§154. CAPITAL REPAIR, MAINTENANCE, CONSTRUCTION AND ACQUISITION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