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w:t>
        <w:t xml:space="preserve">.  </w:t>
      </w:r>
      <w:r>
        <w:rPr>
          <w:b/>
        </w:rPr>
        <w:t xml:space="preserve">Dam Repair and Reconstruction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Dam Repair and Reconstruction Fund, referred to in this section as the "fund," is established within the department.  The department shall administer the fund and make low-interest loans from the fund for purposes pursuant to this section.  The department may seek assistance from the Maine Municipal Bond Bank in administering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112, §3 (AMD).]</w:t>
      </w:r>
    </w:p>
    <w:p>
      <w:pPr>
        <w:jc w:val="both"/>
        <w:spacing w:before="100" w:after="0"/>
        <w:ind w:start="360"/>
        <w:ind w:firstLine="360"/>
      </w:pPr>
      <w:r>
        <w:rPr>
          <w:b/>
        </w:rPr>
        <w:t>2</w:t>
        <w:t xml:space="preserve">.  </w:t>
      </w:r>
      <w:r>
        <w:rPr>
          <w:b/>
        </w:rPr>
        <w:t xml:space="preserve">Purposes.</w:t>
        <w:t xml:space="preserve"> </w:t>
      </w:r>
      <w:r>
        <w:t xml:space="preserve"> </w:t>
      </w:r>
      <w:r>
        <w:t xml:space="preserve">The department may use the fund to provide low-interest loans to municipalities and quasi-municipal corporations or districts for engineering, legal and construction costs involved in acquiring title to, establishing a long-term management plan for, repairs to, reconstruction of, breaching of or removal of a dam or to pay emergency costs incurred for actions taken pursuant to </w:t>
      </w:r>
      <w:r>
        <w:t>section 1114</w:t>
      </w:r>
      <w:r>
        <w:t xml:space="preserve">.  For the purposes of this section, "municipality" has the same meaning as set out in </w:t>
      </w:r>
      <w:r>
        <w:t>Title 30‑A, section 5903, subsection 7‑A</w:t>
      </w:r>
      <w:r>
        <w:t xml:space="preserve"> and "quasi-municipal corporation or district" has the same meaning as set out in </w:t>
      </w:r>
      <w:r>
        <w:t>Title 30‑A, section 2351,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112, §4 (AMD).]</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to implement this section, including criteria and procedures for the application for and award of low-interest loans from the fund and for repayment of loans to the fund.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4</w:t>
        <w:t xml:space="preserve">.  </w:t>
      </w:r>
      <w:r>
        <w:rPr>
          <w:b/>
        </w:rPr>
        <w:t xml:space="preserve">Nonlapsing.</w:t>
        <w:t xml:space="preserve"> </w:t>
      </w:r>
      <w:r>
        <w:t xml:space="preserve"> </w:t>
      </w:r>
      <w:r>
        <w:t xml:space="preserve">Any balance in the fund at the end of the fiscal year may not lapse but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PL 2007, c. 167, §12 (AMD). PL 2011, c. 112,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 Dam Repair and Reconstruction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 Dam Repair and Reconstruction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§1130. DAM REPAIR AND RECONSTRUCTION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