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Toxic chemical release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§799. TOXIC CHEMICAL RELEASE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