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Director of Maine Bureau of Veterans' Services</w:t>
      </w:r>
    </w:p>
    <w:p>
      <w:pPr>
        <w:jc w:val="both"/>
        <w:spacing w:before="100" w:after="100"/>
        <w:ind w:start="360"/>
        <w:ind w:firstLine="360"/>
      </w:pPr>
      <w:r>
        <w:rPr/>
      </w:r>
      <w:r>
        <w:rPr/>
      </w:r>
      <w:r>
        <w:t xml:space="preserve">The Director of the Maine Bureau of Veterans' Services, referred to in this chapter as the "director," shall direct the operation of the bureau.</w:t>
      </w:r>
      <w:r>
        <w:t xml:space="preserve">  </w:t>
      </w:r>
      <w:r xmlns:wp="http://schemas.openxmlformats.org/drawingml/2010/wordprocessingDrawing" xmlns:w15="http://schemas.microsoft.com/office/word/2012/wordml">
        <w:rPr>
          <w:rFonts w:ascii="Arial" w:hAnsi="Arial" w:cs="Arial"/>
          <w:sz w:val="22"/>
          <w:szCs w:val="22"/>
        </w:rPr>
        <w:t xml:space="preserve">[PL 1997, c. 455, §18 (AMD); PL 2019, c. 377,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626, §8 (AMD). PL 1993, c. 694, §2 (AMD). PL 1997, c. 455, §18 (AMD). PL 2019, c. 377,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Director of Maine Bureau of Veterans'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Director of Maine Bureau of Veterans'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§502. DIRECTOR OF MAINE BUREAU OF VETERANS'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