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Harassment</w:t>
      </w:r>
    </w:p>
    <w:p>
      <w:pPr>
        <w:jc w:val="both"/>
        <w:spacing w:before="100" w:after="0"/>
        <w:ind w:start="360"/>
        <w:ind w:firstLine="360"/>
      </w:pPr>
      <w:r>
        <w:rPr>
          <w:b/>
        </w:rPr>
        <w:t>1</w:t>
        <w:t xml:space="preserve">.  </w:t>
      </w:r>
      <w:r>
        <w:rPr>
          <w:b/>
        </w:rPr>
        <w:t xml:space="preserve">Prohibition; criminal harassment.</w:t>
        <w:t xml:space="preserve"> </w:t>
      </w:r>
      <w:r>
        <w:t xml:space="preserve"> </w:t>
      </w:r>
      <w:r>
        <w:t xml:space="preserve">Any person subject to this Code who commits an offense prohibited under </w:t>
      </w:r>
      <w:r>
        <w:t>Title 17‑A, section 506‑A</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section 506‑A</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§463.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