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425</w:t>
        <w:t xml:space="preserve">.  </w:t>
      </w:r>
      <w:r>
        <w:rPr>
          <w:b/>
        </w:rPr>
        <w:t xml:space="preserve">Pretrial procedures</w:t>
      </w:r>
    </w:p>
    <w:p>
      <w:pPr>
        <w:jc w:val="both"/>
        <w:spacing w:before="100" w:after="100"/>
        <w:ind w:start="360"/>
        <w:ind w:firstLine="360"/>
      </w:pPr>
      <w:r>
        <w:rPr/>
      </w:r>
      <w:r>
        <w:rPr/>
      </w:r>
      <w:r>
        <w:t xml:space="preserve">Except as provided otherwise by this Code, the pretrial and trial procedures before a court-martial must be in accordance with the procedures set forth in the United States Uniform Code of Military Justice, Title 10, United States Code, Chapter 47, for a special court-martial and the United States Manual for Courts-Martial as each is revised from time to time.</w:t>
      </w:r>
      <w:r>
        <w:t xml:space="preserve">  </w:t>
      </w:r>
      <w:r xmlns:wp="http://schemas.openxmlformats.org/drawingml/2010/wordprocessingDrawing" xmlns:w15="http://schemas.microsoft.com/office/word/2012/wordml">
        <w:rPr>
          <w:rFonts w:ascii="Arial" w:hAnsi="Arial" w:cs="Arial"/>
          <w:sz w:val="22"/>
          <w:szCs w:val="22"/>
        </w:rPr>
        <w:t xml:space="preserve">[PL 2001, c. 662, §52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 PL 2001, c. 662, §52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§425. Pretrial procedures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§425. Pretrial procedures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§425. PRETRIAL PROCEDURES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