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§390-A. Waiver of continuing education requirements; extension of license, certificate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§390-A. Waiver of continuing education requirements; extension of license, certificate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§390-A. WAIVER OF CONTINUING EDUCATION REQUIREMENTS; EXTENSION OF LICENSE, CERTIFICATE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