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352-A</w:t>
        <w:t xml:space="preserve">.  </w:t>
      </w:r>
      <w:r>
        <w:rPr>
          <w:b/>
        </w:rPr>
        <w:t xml:space="preserve">Participating institution registration</w:t>
      </w:r>
    </w:p>
    <w:p>
      <w:pPr>
        <w:jc w:val="both"/>
        <w:spacing w:before="100" w:after="100"/>
        <w:ind w:start="360"/>
        <w:ind w:firstLine="360"/>
      </w:pPr>
      <w:r>
        <w:rPr/>
      </w:r>
      <w:r>
        <w:rPr/>
      </w:r>
      <w:r>
        <w:t xml:space="preserve">A member is entitled to a tuition benefit described in this subchapter at a private nonprofit postsecondary education institution in the State if that private nonprofit postsecondary education institution is registered with the Military Bureau as a participating institution in the manner prescribed by the bureau.  The bureau may adopt rules to implement the registration requirement described in this section.  Rules adopted in accordance with this section are routine technical rules as described under </w:t>
      </w:r>
      <w:r>
        <w:t>Title 5, chapter 375, subchapter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419,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§352-A. Participating institution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§352-A. Participating institution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§352-A. PARTICIPATING INSTITUTION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