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Administration</w:t>
      </w:r>
    </w:p>
    <w:p>
      <w:pPr>
        <w:jc w:val="both"/>
        <w:spacing w:before="100" w:after="100"/>
        <w:ind w:start="360"/>
        <w:ind w:firstLine="360"/>
      </w:pPr>
      <w:r>
        <w:rPr/>
      </w:r>
      <w:r>
        <w:rPr/>
      </w:r>
      <w:r>
        <w:t xml:space="preserve">The department shall administer this chapter.  In carrying out the provisions of this chapter, the department shall consult as appropriate with other state agencies, including the Department of Agriculture, Conservation and Forestry, the Department of Environmental Protection, the Department of Inland Fisheries and Wildlife, the Department of Marine Resources, the Department of Public Safety, the Department of Transportation and the Maine Land Use Planning Commission, for their aid and assistance.</w:t>
      </w:r>
      <w:r>
        <w:t xml:space="preserve">  </w:t>
      </w:r>
      <w:r xmlns:wp="http://schemas.openxmlformats.org/drawingml/2010/wordprocessingDrawing" xmlns:w15="http://schemas.microsoft.com/office/word/2012/wordml">
        <w:rPr>
          <w:rFonts w:ascii="Arial" w:hAnsi="Arial" w:cs="Arial"/>
          <w:sz w:val="22"/>
          <w:szCs w:val="22"/>
        </w:rPr>
        <w:t xml:space="preserve">[PL 2011, c. 655, Pt. HH, §3 (AMD); PL 2011, c. 655, Pt. HH, §7 (AFF); PL 2011, c. 657, Pt. W, §5 (REV);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PL 2009, c. 561, §35 (AMD). PL 2011, c. 655, Pt. HH, §3 (AMD). PL 2011, c. 655, Pt. HH, §7 (AFF). PL 2011, c. 657, Pt. W, §5 (REV).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§1112.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