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w:t>
        <w:t xml:space="preserve">.  </w:t>
      </w:r>
      <w:r>
        <w:rPr>
          <w:b/>
        </w:rPr>
        <w:t xml:space="preserve">Assistant adjutants general</w:t>
      </w:r>
    </w:p>
    <w:p>
      <w:pPr>
        <w:jc w:val="both"/>
        <w:spacing w:before="100" w:after="100"/>
        <w:ind w:start="360"/>
        <w:ind w:firstLine="360"/>
      </w:pPr>
      <w:r>
        <w:rPr/>
      </w:r>
      <w:r>
        <w:rPr/>
      </w:r>
      <w:r>
        <w:t xml:space="preserve">The Adjutant General may, subject to the approval of the Governor, appoint an assistant adjutant general for the Maine Army National Guard and an assistant adjutant general for the Maine Air National Guard, each with the qualifications set forth in </w:t>
      </w:r>
      <w:r>
        <w:t>section 107</w:t>
      </w:r>
      <w:r>
        <w:t xml:space="preserve">, who may hold the grade of brigadier general and shall serve at the pleasure of the Adjutant General.  The assistant adjutant general for the Maine Army National Guard shall be responsible for the general supervision of training and administration of the Maine Army National Guard and the assistant adjutant general for the Maine Air National Guard shall be responsible for the general supervision of training and administration of the Maine Air National Guard.</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 Assistant adjutants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 Assistant adjutants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§106. ASSISTANT ADJUTANTS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