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751</w:t>
        <w:t xml:space="preserve">.  </w:t>
      </w:r>
      <w:r>
        <w:rPr>
          <w:b/>
        </w:rPr>
        <w:t xml:space="preserve">County taxes; collection</w:t>
      </w:r>
    </w:p>
    <w:p>
      <w:pPr>
        <w:jc w:val="both"/>
        <w:spacing w:before="100" w:after="100"/>
        <w:ind w:start="360"/>
        <w:ind w:firstLine="360"/>
      </w:pPr>
      <w:r>
        <w:rPr/>
      </w:r>
      <w:r>
        <w:rPr/>
      </w:r>
      <w:r>
        <w:t xml:space="preserve">The tax collector shall collect county taxes and pay those taxes to the treasurer of the municipality as other taxes are paid.</w:t>
      </w:r>
      <w:r>
        <w:t xml:space="preserve">  </w:t>
      </w:r>
      <w:r xmlns:wp="http://schemas.openxmlformats.org/drawingml/2010/wordprocessingDrawing" xmlns:w15="http://schemas.microsoft.com/office/word/2012/wordml">
        <w:rPr>
          <w:rFonts w:ascii="Arial" w:hAnsi="Arial" w:cs="Arial"/>
          <w:sz w:val="22"/>
          <w:szCs w:val="22"/>
        </w:rPr>
        <w:t xml:space="preserve">[PL 2021, c. 531,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531, Pt. B,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§751. County taxes; collection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§751. County taxes; collection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§751. COUNTY TAXES; COLLECTION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