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6202</w:t>
        <w:t xml:space="preserve">.  </w:t>
      </w:r>
      <w:r>
        <w:rPr>
          <w:b/>
        </w:rPr>
        <w:t xml:space="preserve">Claim is personal</w:t>
      </w:r>
    </w:p>
    <w:p>
      <w:pPr>
        <w:jc w:val="both"/>
        <w:spacing w:before="100" w:after="100"/>
        <w:ind w:start="360"/>
        <w:ind w:firstLine="360"/>
      </w:pPr>
      <w:r>
        <w:rPr/>
      </w:r>
      <w:r>
        <w:rPr/>
      </w:r>
      <w:r>
        <w:t xml:space="preserve">The right to file a claim under this chapter is personal to the claimant and does not survive the claimant's death, but the right may be exercised on behalf of a claimant by the claimant's legal guardian or attorney-in-fact. If a claimant dies after having filed a timely claim, the amount thereof must be disbursed to another member of the household as determined by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1993, c. 395, §30 (AMD).]</w:t>
      </w:r>
    </w:p>
    <w:p>
      <w:pPr>
        <w:jc w:val="both"/>
        <w:spacing w:before="100" w:after="100"/>
        <w:ind w:start="360"/>
        <w:ind w:firstLine="360"/>
      </w:pPr>
      <w:r>
        <w:rPr/>
      </w:r>
      <w:r>
        <w:rPr/>
      </w:r>
      <w:r>
        <w:t xml:space="preserve">If the claimant was the only member of a household, the claim may be paid to the claimant's personal representative, but if one is not appointed within 2 years of the filing of the claim, the amount of the claim escheats to the State.</w:t>
      </w:r>
      <w:r>
        <w:t xml:space="preserve">  </w:t>
      </w:r>
      <w:r xmlns:wp="http://schemas.openxmlformats.org/drawingml/2010/wordprocessingDrawing" xmlns:w15="http://schemas.microsoft.com/office/word/2012/wordml">
        <w:rPr>
          <w:rFonts w:ascii="Arial" w:hAnsi="Arial" w:cs="Arial"/>
          <w:sz w:val="22"/>
          <w:szCs w:val="22"/>
        </w:rPr>
        <w:t xml:space="preserve">[PL 1993, c. 395,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1993, c. 395,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§6202. Claim is personal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§6202. Claim is personal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§6202. CLAIM IS PERSONAL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