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5175</w:t>
        <w:t xml:space="preserve">.  </w:t>
      </w:r>
      <w:r>
        <w:rPr>
          <w:b/>
        </w:rPr>
        <w:t xml:space="preserve">Maine taxable income of a nonresident estate or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2003, c. 390, §37 (AMD). PL 2009, c. 434, §70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§5175. Maine taxable income of a nonresident estate or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§5175. Maine taxable income of a nonresident estate or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§5175. MAINE TAXABLE INCOME OF A NONRESIDENT ESTATE OR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