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Application of revenues</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§2559.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