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205</w:t>
        <w:t xml:space="preserve">.  </w:t>
      </w:r>
      <w:r>
        <w:rPr>
          <w:b/>
        </w:rPr>
        <w:t xml:space="preserve">Forms, reports and records</w:t>
      </w:r>
    </w:p>
    <w:p>
      <w:pPr>
        <w:jc w:val="both"/>
        <w:spacing w:before="100" w:after="100"/>
        <w:ind w:start="360"/>
        <w:ind w:firstLine="360"/>
      </w:pPr>
      <w:r>
        <w:rPr/>
      </w:r>
      <w:r>
        <w:rPr/>
      </w:r>
      <w:r>
        <w:t xml:space="preserve">The State Tax Assessor shall prescribe the form of blanks, reports, abstracts and other records relating to the assessment of property for taxation. Assessors and other officers shall use and follow the forms so prescribed and the State Tax Assessor shall have power to enforce their use.</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§205. Forms, reports and records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§205. Forms, reports and records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§205. FORMS, REPORTS AND RECORDS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