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1751</w:t>
        <w:t xml:space="preserve">.  </w:t>
      </w:r>
      <w:r>
        <w:rPr>
          <w:b/>
        </w:rPr>
        <w:t xml:space="preserve">Short title</w:t>
      </w:r>
    </w:p>
    <w:p>
      <w:pPr>
        <w:jc w:val="both"/>
        <w:spacing w:before="100" w:after="100"/>
        <w:ind w:start="360"/>
        <w:ind w:firstLine="360"/>
      </w:pPr>
      <w:r>
        <w:rPr/>
      </w:r>
      <w:r>
        <w:rPr/>
      </w:r>
      <w:r>
        <w:t>Chapters 211</w:t>
      </w:r>
      <w:r>
        <w:t xml:space="preserve"> to </w:t>
      </w:r>
      <w:r>
        <w:t>225</w:t>
      </w:r>
      <w:r>
        <w:t xml:space="preserve"> shall be known and may be cited as the "Sales and Use Tax Law."</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§1751.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