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1140-B</w:t>
        <w:t xml:space="preserve">.  </w:t>
      </w:r>
      <w:r>
        <w:rPr>
          <w:b/>
        </w:rPr>
        <w:t xml:space="preserve">Analysis and report</w:t>
      </w:r>
    </w:p>
    <w:p>
      <w:pPr>
        <w:jc w:val="both"/>
        <w:spacing w:before="100" w:after="0"/>
        <w:ind w:start="360"/>
        <w:ind w:firstLine="360"/>
      </w:pPr>
      <w:r>
        <w:rPr>
          <w:b/>
        </w:rPr>
        <w:t>1</w:t>
        <w:t xml:space="preserve">.  </w:t>
      </w:r>
      <w:r>
        <w:rPr>
          <w:b/>
        </w:rPr>
        <w:t xml:space="preserve">Analysis.</w:t>
        <w:t xml:space="preserve"> </w:t>
      </w:r>
      <w:r>
        <w:t xml:space="preserve"> </w:t>
      </w:r>
      <w:r>
        <w:t xml:space="preserve">The State Tax Assessor, in consultation with municipal assessors, the Commissioner of Agriculture, Conservation and Forestry or the commissioner's designee, representatives of working waterfront organizations and other interested parties, shall collect and analyze the sales prices of all actual sales that occur in the State of waterfront land that is subject to restrictions on that land's use that are legally enforceable and prohibit or substantially restrict development that is not commercial fishing activity or commercial activity that is the functional equivalent of commercial fishing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II, §9 (AMD); PL 2011, c. 655, Pt. II, §11 (AFF); PL 2011, c. 657, Pt. W, §6 (REV).]</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§8 (RP).]</w:t>
      </w:r>
    </w:p>
    <w:p>
      <w:pPr>
        <w:jc w:val="both"/>
        <w:spacing w:before="100" w:after="0"/>
        <w:ind w:start="360"/>
        <w:ind w:firstLine="360"/>
      </w:pPr>
      <w:r>
        <w:rPr>
          <w:b/>
        </w:rPr>
        <w:t>3</w:t>
        <w:t xml:space="preserve">.  </w:t>
      </w:r>
      <w:r>
        <w:rPr>
          <w:b/>
        </w:rPr>
        <w:t xml:space="preserve">Report.</w:t>
        <w:t xml:space="preserve"> </w:t>
      </w:r>
      <w:r>
        <w:t xml:space="preserve"> </w:t>
      </w:r>
      <w:r>
        <w:t xml:space="preserve">By December 31st of each odd-numbered year, the State Tax Assessor shall submit a report to the joint standing committee of the Legislature having jurisdiction over taxation matters that identifies the total value of each sale of working waterfront land and the value of each sale that is reasonably related to the working waterfront land, that compares the sale price of the working waterfront land to the assessed value of the property and that categorizes the sales data by region, type of commercial use or commercial fishing use and any other relevant categories.  The report may include any other data or analysis that the assessor finds relevant and any recommendations the assessor develops to assist municipal assessors in calculating the current use value of enrolled working waterfront land that is used for or supports commercial fishing activities.  The report may also include recommendations to amend this subchapter for the purposes of improving or ensuring the accuracy of current use assessment of working waterfront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§58 (NEW). PL 2011, c. 644, §8 (AMD). PL 2011, c. 655, Pt. II, §9 (AMD). PL 2011, c. 655, Pt. II, §11 (AFF). PL 2011, c. 657, Pt. W, §6 (REV). PL 2023, c. 671,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§1140-B. Analysis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§1140-B. Analysis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§1140-B. ANALYSIS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