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3708</w:t>
        <w:t xml:space="preserve">.  </w:t>
      </w:r>
      <w:r>
        <w:rPr>
          <w:b/>
        </w:rPr>
        <w:t xml:space="preserve">Fees</w:t>
      </w:r>
    </w:p>
    <w:p>
      <w:pPr>
        <w:jc w:val="both"/>
        <w:spacing w:before="100" w:after="100"/>
        <w:ind w:start="360"/>
        <w:ind w:firstLine="360"/>
      </w:pPr>
      <w:r>
        <w:rPr/>
      </w:r>
      <w:r>
        <w:rPr/>
      </w:r>
      <w:r>
        <w:t xml:space="preserve">The Secretary of State shall charge and collect for filing articles of incorporation, articles of amendment, articles of consolidation or articles of conversion a fee of $5, and for filing certificate of election to dissolve, articles of dissolution or certificate of change of principal office a fee of $2.</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§3708.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§3708.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§3708.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