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3455</w:t>
        <w:t xml:space="preserve">.  </w:t>
      </w:r>
      <w:r>
        <w:rPr>
          <w:b/>
        </w:rPr>
        <w:t xml:space="preserve">Determination of public safety-related setbacks</w:t>
      </w:r>
    </w:p>
    <w:p>
      <w:pPr>
        <w:jc w:val="both"/>
        <w:spacing w:before="100" w:after="100"/>
        <w:ind w:start="360"/>
        <w:ind w:firstLine="360"/>
      </w:pPr>
      <w:r>
        <w:rPr/>
      </w:r>
      <w:r>
        <w:rPr/>
      </w:r>
      <w:r>
        <w:t xml:space="preserve">In making findings pursuant to </w:t>
      </w:r>
      <w:r>
        <w:t>Title 12, section 685‑B, subsection 4</w:t>
      </w:r>
      <w:r>
        <w:t xml:space="preserve"> or </w:t>
      </w:r>
      <w:r>
        <w:t>Title 38, section 484, subsection 3</w:t>
      </w:r>
      <w:r>
        <w:t xml:space="preserve"> on whether a wind energy development must be constructed with setbacks adequate to protect public safety, the primary siting authority must consider the recommendation of a professional, licensed civil engineer as well as any applicable setback recommended by a manufacturer of the generating facilities.  The primary siting authority may require submission of this information as part of the application.</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§3455. Determination of public safety-related setbacks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§3455. Determination of public safety-related setbacks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§3455. DETERMINATION OF PUBLIC SAFETY-RELATED SETBACKS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