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§3309. Performance of contracts; commercially reasonable business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§3309. PERFORMANCE OF CONTRACTS; COMMERCIALLY REASONABLE BUSINESS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