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3171</w:t>
        <w:t xml:space="preserve">.  </w:t>
      </w:r>
      <w:r>
        <w:rPr>
          <w:b/>
        </w:rPr>
        <w:t xml:space="preserve">Title</w:t>
      </w:r>
    </w:p>
    <w:p>
      <w:pPr>
        <w:jc w:val="both"/>
        <w:spacing w:before="100" w:after="100"/>
        <w:ind w:start="360"/>
        <w:ind w:firstLine="360"/>
      </w:pPr>
      <w:r>
        <w:rPr/>
      </w:r>
      <w:r>
        <w:rPr/>
      </w:r>
      <w:r>
        <w:t xml:space="preserve">This subchapter may be known and cited as the "Older Citizens Transmission and Distribution Service Policy."</w:t>
      </w:r>
      <w:r>
        <w:t xml:space="preserve">  </w:t>
      </w:r>
      <w:r xmlns:wp="http://schemas.openxmlformats.org/drawingml/2010/wordprocessingDrawing" xmlns:w15="http://schemas.microsoft.com/office/word/2012/wordml">
        <w:rPr>
          <w:rFonts w:ascii="Arial" w:hAnsi="Arial" w:cs="Arial"/>
          <w:sz w:val="22"/>
          <w:szCs w:val="22"/>
        </w:rPr>
        <w:t xml:space="preserve">[PL 1999, c. 398, Pt. A, §66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1993, c. 1, §104 (COR). PL 1999, c. 398, §A66 (AMD).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§3171.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