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2106</w:t>
        <w:t xml:space="preserve">.  </w:t>
      </w:r>
      <w:r>
        <w:rPr>
          <w:b/>
        </w:rPr>
        <w:t xml:space="preserve">Transfer of approval for a radio common carrier</w:t>
      </w:r>
    </w:p>
    <w:p>
      <w:pPr>
        <w:jc w:val="both"/>
        <w:spacing w:before="100" w:after="100"/>
        <w:ind w:start="360"/>
        <w:ind w:firstLine="360"/>
      </w:pPr>
      <w:r>
        <w:rPr/>
      </w:r>
      <w:r>
        <w:rPr/>
      </w:r>
      <w:r>
        <w:t xml:space="preserve">Consent granted by the commission under </w:t>
      </w:r>
      <w:r>
        <w:t>section 2102</w:t>
      </w:r>
      <w:r>
        <w:t xml:space="preserve">, or under </w:t>
      </w:r>
      <w:r>
        <w:t>section 2105</w:t>
      </w:r>
      <w:r>
        <w:t xml:space="preserve">, held by a radio common carrier may be assigned and transferred with the approval of the commission by holder of the approval.  The commission may impose reasonable conditions upon granting its approval.</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§2106. Transfer of approval for a radio common carrier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§2106. Transfer of approval for a radio common carrier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§2106. TRANSFER OF APPROVAL FOR A RADIO COMMON CARRIER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