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1323</w:t>
        <w:t xml:space="preserve">.  </w:t>
      </w:r>
      <w:r>
        <w:rPr>
          <w:b/>
        </w:rPr>
        <w:t xml:space="preserve">Exhausting rights before commission; application to Legislature</w:t>
      </w:r>
    </w:p>
    <w:p>
      <w:pPr>
        <w:jc w:val="both"/>
        <w:spacing w:before="100" w:after="100"/>
        <w:ind w:start="360"/>
        <w:ind w:firstLine="360"/>
      </w:pPr>
      <w:r>
        <w:rPr/>
      </w:r>
      <w:r>
        <w:rPr/>
      </w:r>
      <w:r>
        <w:t xml:space="preserve">No public utility may apply to the Legislature to grant it a right, privilege or immunity which the commission has power to grant it until the utility has exhausted its rights regarding its request before the commission.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r>
      <w:r>
        <w:rPr/>
      </w:r>
      <w:r>
        <w:t xml:space="preserve">In applying to the Legislature, the utility shall state in writing that it has applied to the commission for the right, privilege or immunity requested and that the commission has denied its application.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§1323. Exhausting rights before commission; application to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§1323. Exhausting rights before commission; application to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§1323. EXHAUSTING RIGHTS BEFORE COMMISSION; APPLICATION TO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