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10162</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PACE ordinance or participation in a PACE program and those standards substantially conflict with the municipality's manner of participation in the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§10162. Conformity to changed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§10162. Conformity to changed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§10162. CONFORMITY TO CHANGED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