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§10123. School decarbonization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§10123. School decarbonization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§10123. SCHOOL DECARBONIZATION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