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4158</w:t>
        <w:t xml:space="preserve">.  </w:t>
      </w:r>
      <w:r>
        <w:rPr>
          <w:b/>
        </w:rPr>
        <w:t xml:space="preserve">Notes and bonds as legal investment</w:t>
      </w:r>
    </w:p>
    <w:p>
      <w:pPr>
        <w:jc w:val="both"/>
        <w:spacing w:before="100" w:after="100"/>
        <w:ind w:start="360"/>
        <w:ind w:firstLine="360"/>
      </w:pPr>
      <w:r>
        <w:rPr/>
      </w:r>
      <w:r>
        <w:rPr/>
      </w:r>
      <w:r>
        <w:t xml:space="preserve">The State and all public officers, governmental units and agencies of the State, all banks,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all credit unions and all executors, administrators, guardians, trustees and other fiduciaries may legally invest any sinking funds, money or other funds belonging to them or within their control in any bonds, notes or other evidences of indebtedness issued under this chapter, and the bonds, notes or other evidences of indebtedness are authorized security for any public deposits.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855,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§4158. Notes and bonds as legal investment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§4158. Notes and bonds as legal investment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§4158. NOTES AND BONDS AS LEGAL INVESTMENT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