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3753</w:t>
        <w:t xml:space="preserve">.  </w:t>
      </w:r>
      <w:r>
        <w:rPr>
          <w:b/>
        </w:rPr>
        <w:t xml:space="preserve">Change of location of principal office</w:t>
      </w:r>
    </w:p>
    <w:p>
      <w:pPr>
        <w:jc w:val="both"/>
        <w:spacing w:before="100" w:after="100"/>
        <w:ind w:start="360"/>
        <w:ind w:firstLine="360"/>
      </w:pPr>
      <w:r>
        <w:rPr/>
      </w:r>
      <w:r>
        <w:rPr/>
      </w:r>
      <w:r>
        <w:t xml:space="preserve">A cooperative may, upon authorization of its board of trustees or its members, change the location of its principal office by filing a certificate reciting the change, executed and acknowledged by its president or vice-president under its seal, attested by its secretary, in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§3753. Change of location of principal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§3753. Change of location of principal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§3753. CHANGE OF LOCATION OF PRINCIPAL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