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b/>
        </w:rPr>
        <w:t>1</w:t>
        <w:t xml:space="preserve">.  </w:t>
      </w:r>
      <w:r>
        <w:rPr>
          <w:b/>
        </w:rPr>
        <w:t xml:space="preserve">Consumer-owned transmission and distribution utility.</w:t>
        <w:t xml:space="preserve"> </w:t>
      </w:r>
      <w:r>
        <w:t xml:space="preserve"> </w:t>
      </w:r>
      <w:r>
        <w:t xml:space="preserve">For the purposes of this chapter, "consumer-owned transmission and distribution utility" means any transmission and distribution utility that is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Any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D</w:t>
        <w:t xml:space="preserve">.  </w:t>
      </w:r>
      <w:r>
        <w:rPr/>
      </w:r>
      <w:r>
        <w:t xml:space="preserve">The portion of any municipal or quasi-municipal entity located in the State providing transmission and distribution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w:pPr>
        <w:jc w:val="both"/>
        <w:spacing w:before="100" w:after="0"/>
        <w:ind w:start="720"/>
      </w:pPr>
      <w:r>
        <w:rPr/>
        <w:t>E</w:t>
        <w:t xml:space="preserve">.  </w:t>
      </w:r>
      <w:r>
        <w:rPr/>
      </w:r>
      <w:r>
        <w:t xml:space="preserve">Any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§C9 (AMD). PL 1999, c. 398, §A85 (AMD). PL 1999, c. 398, §§A104,105 (AFF). PL 2019, c. 311,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