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Annual report</w:t>
      </w:r>
    </w:p>
    <w:p>
      <w:pPr>
        <w:jc w:val="both"/>
        <w:spacing w:before="100" w:after="100"/>
        <w:ind w:start="360"/>
        <w:ind w:firstLine="360"/>
      </w:pPr>
      <w:r>
        <w:rPr/>
      </w:r>
      <w:r>
        <w:rPr/>
      </w:r>
      <w:r>
        <w:t xml:space="preserve">No later than the last day of December, the bank shall make an annual report of its activities for the preceding fiscal year to the Governor.  Each report shall set forth a complete operating and financial statement covering its operations during the year.  The bank shall cause an audit of its books and accounts to be made at least once in each year by certified public accountants.  The cost of the audit shall be considered an expense of the bank.  The bank shall file a copy of the audit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