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2111</w:t>
        <w:t xml:space="preserve">.  </w:t>
      </w:r>
      <w:r>
        <w:rPr>
          <w:b/>
        </w:rPr>
        <w:t xml:space="preserve">Expansion into broadband by consumer-owned utilities; registration requirements</w:t>
      </w:r>
    </w:p>
    <w:p>
      <w:pPr>
        <w:jc w:val="both"/>
        <w:spacing w:before="100" w:after="100"/>
        <w:ind w:start="360"/>
        <w:ind w:firstLine="360"/>
      </w:pPr>
      <w:r>
        <w:rPr/>
      </w:r>
      <w:r>
        <w:rPr/>
      </w:r>
      <w:r>
        <w:t xml:space="preserve">A consumer-owned public utility shall register with the commission prior to exercising any authority the consumer-owned public utility may have, pursuant to other law, to directly or indirectly own, lease, construct, maintain or operate broadband or other Internet access systems or to provide broadband or other Internet access services to the public.  A consumer-owned public utility registering under this section shall provide to the commission the name, mailing address and phone number of a contact person who is knowledgeable regarding the consumer-owned public utility’s broadband and Internet access systems activities in the State. The commission shall inform the consumer-owned public utility of the requirements of </w:t>
      </w:r>
      <w:r>
        <w:t>section 713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§2111. Expansion into broadband by consumer-owned utilities; registration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§2111. Expansion into broadband by consumer-owned utilities; registration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§2111. EXPANSION INTO BROADBAND BY CONSUMER-OWNED UTILITIES; REGISTRATION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