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Organization of certain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§2101. ORGANIZATION OF CERTAIN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