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Exemption from Chief Procurement Officer rules</w:t>
      </w:r>
    </w:p>
    <w:p>
      <w:pPr>
        <w:jc w:val="both"/>
        <w:spacing w:before="100" w:after="100"/>
        <w:ind w:start="360"/>
        <w:ind w:firstLine="360"/>
      </w:pPr>
      <w:r>
        <w:rPr/>
      </w:r>
      <w:r>
        <w:rPr/>
      </w:r>
      <w:r>
        <w:t xml:space="preserve">Notwithstanding any provision of law to the contrary, agreements and contracts entered into pursuant to this chapter are not subject to the competitive bid requirements of the Chief Procurement Officer.</w:t>
      </w:r>
      <w:r>
        <w:t xml:space="preserve">  </w:t>
      </w:r>
      <w:r xmlns:wp="http://schemas.openxmlformats.org/drawingml/2010/wordprocessingDrawing" xmlns:w15="http://schemas.microsoft.com/office/word/2012/wordml">
        <w:rPr>
          <w:rFonts w:ascii="Arial" w:hAnsi="Arial" w:cs="Arial"/>
          <w:sz w:val="22"/>
          <w:szCs w:val="22"/>
        </w:rPr>
        <w:t xml:space="preserve">[PL 2023, c. 516, Pt. B,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2023, c. 516, Pt. B,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§1908. Exemption from Chief Procurement Officer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Exemption from Chief Procurement Officer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§1908. EXEMPTION FROM CHIEF PROCUREMENT OFFICER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