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Depositions</w:t>
      </w:r>
    </w:p>
    <w:p>
      <w:pPr>
        <w:jc w:val="both"/>
        <w:spacing w:before="100" w:after="100"/>
        <w:ind w:start="360"/>
        <w:ind w:firstLine="360"/>
      </w:pPr>
      <w:r>
        <w:rPr/>
      </w:r>
      <w:r>
        <w:rPr/>
      </w:r>
      <w:r>
        <w:t xml:space="preserve">The following provisions apply to depositions.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Taking depositions.</w:t>
        <w:t xml:space="preserve"> </w:t>
      </w:r>
      <w:r>
        <w:t xml:space="preserve"> </w:t>
      </w:r>
      <w:r>
        <w:t xml:space="preserve">Depositions shall be taken in the manner prescribed by law for taking depositions in civil actions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Use of depositions.</w:t>
        <w:t xml:space="preserve"> </w:t>
      </w:r>
      <w:r>
        <w:t xml:space="preserve"> </w:t>
      </w:r>
      <w:r>
        <w:t xml:space="preserve">The commission or any party may use the deposition of witnesses in a formal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§1313.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