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103-A</w:t>
        <w:t xml:space="preserve">.  </w:t>
      </w:r>
      <w:r>
        <w:rPr>
          <w:b/>
        </w:rPr>
        <w:t xml:space="preserve">Climate requirements</w:t>
      </w:r>
    </w:p>
    <w:p>
      <w:pPr>
        <w:jc w:val="both"/>
        <w:spacing w:before="100" w:after="100"/>
        <w:ind w:start="360"/>
        <w:ind w:firstLine="360"/>
      </w:pPr>
      <w:r>
        <w:rPr/>
      </w:r>
      <w:r>
        <w:rPr/>
      </w:r>
      <w:r>
        <w:t xml:space="preserve">In executing its duties, powers and regulatory functions under this Title, the commission, while ensuring system reliability and resource adequacy, shall facilitate the achievement by the State of the greenhouse gas emissions reduction levels set forth in </w:t>
      </w:r>
      <w:r>
        <w:t>Title 38, section 576‑A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279,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§103-A. Climate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§103-A. CLIMATE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