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AQUEDUCTS</w:t>
      </w:r>
    </w:p>
    <w:p>
      <w:pPr>
        <w:jc w:val="center"/>
        <w:ind w:start="360"/>
        <w:spacing w:before="300" w:after="300"/>
      </w:pPr>
      <w:r>
        <w:rPr>
          <w:b/>
        </w:rPr>
        <w:t>(REPEALED)</w:t>
      </w:r>
    </w:p>
    <w:p>
      <w:pPr>
        <w:jc w:val="both"/>
        <w:spacing w:before="100" w:after="100"/>
        <w:ind w:start="1080" w:hanging="720"/>
      </w:pPr>
      <w:r>
        <w:rPr>
          <w:b/>
        </w:rPr>
        <w:t>§</w:t>
        <w:t>6901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6902</w:t>
        <w:t xml:space="preserve">.  </w:t>
      </w:r>
      <w:r>
        <w:rPr>
          <w:b/>
        </w:rPr>
        <w:t xml:space="preserve">Proprietors to be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6907</w:t>
        <w:t xml:space="preserve">.  </w:t>
      </w:r>
      <w:r>
        <w:rPr>
          <w:b/>
        </w:rPr>
        <w:t xml:space="preserve">Municipality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69. AQUEDUCTS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AQUEDUCTS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69. AQUEDUCTS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