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251</w:t>
      </w:r>
    </w:p>
    <w:p>
      <w:pPr>
        <w:jc w:val="center"/>
        <w:ind w:start="360"/>
        <w:spacing w:before="300" w:after="300"/>
      </w:pPr>
      <w:r>
        <w:rPr>
          <w:b/>
        </w:rPr>
        <w:t xml:space="preserve">GOVERNOR BAXTER STATE SCHOOL FOR THE DEAF</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2902</w:t>
        <w:t xml:space="preserve">.  </w:t>
      </w:r>
      <w:r>
        <w:rPr>
          <w:b/>
        </w:rPr>
        <w:t xml:space="preserve">State assumes charges and expenses;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2903</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2904</w:t>
        <w:t xml:space="preserve">.  </w:t>
      </w:r>
      <w:r>
        <w:rPr>
          <w:b/>
        </w:rPr>
        <w:t xml:space="preserve">Admittance of children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2905</w:t>
        <w:t xml:space="preserve">.  </w:t>
      </w:r>
      <w:r>
        <w:rPr>
          <w:b/>
        </w:rPr>
        <w:t xml:space="preserve">Deaf children sent to Governor Baxter State School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jc w:val="both"/>
        <w:spacing w:before="100" w:after="100"/>
        <w:ind w:start="1080" w:hanging="720"/>
      </w:pPr>
      <w:r>
        <w:rPr>
          <w:b/>
        </w:rPr>
        <w:t>§</w:t>
        <w:t>2906</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 (AMD). PL 1973, c. 783, §44 (RP). </w:t>
      </w:r>
    </w:p>
    <w:p>
      <w:pPr>
        <w:jc w:val="both"/>
        <w:spacing w:before="100" w:after="100"/>
        <w:ind w:start="1080" w:hanging="720"/>
      </w:pPr>
      <w:r>
        <w:rPr>
          <w:b/>
        </w:rPr>
        <w:t>§</w:t>
        <w:t>2907</w:t>
        <w:t xml:space="preserve">.  </w:t>
      </w:r>
      <w:r>
        <w:rPr>
          <w:b/>
        </w:rPr>
        <w:t xml:space="preserve">Admittance of children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251. GOVERNOR BAXTER STATE SCHOOL FOR THE DEAF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251. GOVERNOR BAXTER STATE SCHOOL FOR THE DEAF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251. GOVERNOR BAXTER STATE SCHOOL FOR THE DEAF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