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PROCESS FOR PROVISION OF MENTAL RETARDATION SERVICES</w:t>
      </w:r>
    </w:p>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229. PROCESS FOR PROVISION OF MENTAL RETARDATION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PROCESS FOR PROVISION OF MENTAL RETARDATION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229. PROCESS FOR PROVISION OF MENTAL RETARDATION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