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 YOUTH COMMUNITY ACTIVITIES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