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Legislative intent</w:t>
      </w:r>
    </w:p>
    <w:p>
      <w:pPr>
        <w:jc w:val="both"/>
        <w:spacing w:before="100" w:after="100"/>
        <w:ind w:start="360"/>
        <w:ind w:firstLine="360"/>
      </w:pPr>
      <w:r>
        <w:rPr/>
      </w:r>
      <w:r>
        <w:rPr/>
      </w:r>
      <w:r>
        <w:t xml:space="preserve">Recognizing the need to firmly control all of the State's correctional and detention facilities, provide for the safety of staff and clients, undertake appropriate programming for the classification, education, rehabilitation and maintenance of clients and assure an effective system for the supervision of parolees and probationers, it is the intent of the Legislature to create a Department of Corrections to improve the administration of correctional facilities, programs and services for clients.</w:t>
      </w:r>
      <w:r>
        <w:t xml:space="preserve">  </w:t>
      </w:r>
      <w:r xmlns:wp="http://schemas.openxmlformats.org/drawingml/2010/wordprocessingDrawing" xmlns:w15="http://schemas.microsoft.com/office/word/2012/wordml">
        <w:rPr>
          <w:rFonts w:ascii="Arial" w:hAnsi="Arial" w:cs="Arial"/>
          <w:sz w:val="22"/>
          <w:szCs w:val="22"/>
        </w:rPr>
        <w:t xml:space="preserve">[PL 1991, c. 314,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