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11401</w:t>
        <w:t xml:space="preserve">.  </w:t>
      </w:r>
      <w:r>
        <w:rPr>
          <w:b/>
        </w:rPr>
        <w:t xml:space="preserve">Establishment</w:t>
      </w:r>
    </w:p>
    <w:p>
      <w:pPr>
        <w:jc w:val="both"/>
        <w:spacing w:before="100" w:after="100"/>
        <w:ind w:start="360"/>
        <w:ind w:firstLine="360"/>
      </w:pPr>
      <w:r>
        <w:rPr/>
      </w:r>
      <w:r>
        <w:rPr/>
      </w:r>
      <w:r>
        <w:t xml:space="preserve">The Sex Offender Management and Risk Assessment Advisory Commission, referred to in this chapter as "the commission," established by </w:t>
      </w:r>
      <w:r>
        <w:t>Title 5, section 12004‑I, subsection 4‑C</w:t>
      </w:r>
      <w:r>
        <w:t xml:space="preserve">, is created for the purpose of making recommendations pertaining to sex offender management and risk assessment. For purposes of this chapter, "sex offender" has the same meaning as "offender" in </w:t>
      </w:r>
      <w:r>
        <w:t>section 11273, subsection 10</w:t>
      </w:r>
      <w:r>
        <w:t xml:space="preserve">. For purposes of this chapter, "registrant" has the same meaning as in </w:t>
      </w:r>
      <w:r>
        <w:t>section 11273,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§11401.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