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7010</w:t>
        <w:t xml:space="preserve">.  </w:t>
      </w:r>
      <w:r>
        <w:rPr>
          <w:b/>
        </w:rPr>
        <w:t xml:space="preserve">Determination of the best interests of a person unable to give informed consent for sterilization</w:t>
      </w:r>
    </w:p>
    <w:p>
      <w:pPr>
        <w:jc w:val="both"/>
        <w:spacing w:before="100" w:after="100"/>
        <w:ind w:start="360"/>
        <w:ind w:firstLine="360"/>
      </w:pPr>
      <w:r>
        <w:rPr/>
      </w:r>
      <w:r>
        <w:rPr/>
      </w:r>
      <w:r>
        <w:t xml:space="preserve">The parent, spouse, guardian or custodian of any person found unable to give informed consent for sterilization may petition the District Court, in the county of residence of the person being considered for sterilization, to determine if sterilization is in the best interest of that person.  The court shall have sole jurisdiction and authority to order that a sterilization procedure may be performed when a person is incapable of giving informed consent, as determined by the hearing required in </w:t>
      </w:r>
      <w:r>
        <w:t>section 7008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§7010. Determination of the best interests of a person unable to give informed consent for sterilization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§7010. Determination of the best interests of a person unable to give informed consent for sterilization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§7010. DETERMINATION OF THE BEST INTERESTS OF A PERSON UNABLE TO GIVE INFORMED CONSENT FOR STERILIZATION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