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§3874. MEDICAL EXAMINATIONS CONDUCTED VIA TELEHEALTH TECHNOLOGIES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